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Law</w:t>
      </w: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967B3" w:rsidP="00C967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C967B3" w:rsidP="00C967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P="00C967B3">
      <w:pPr>
        <w:spacing w:line="480" w:lineRule="auto"/>
        <w:jc w:val="center"/>
        <w:rPr>
          <w:rFonts w:ascii="Times New Roman" w:hAnsi="Times New Roman" w:cs="Times New Roman"/>
          <w:sz w:val="24"/>
          <w:szCs w:val="24"/>
        </w:rPr>
      </w:pPr>
    </w:p>
    <w:p w:rsidR="00C967B3" w:rsidRPr="00C967B3" w:rsidP="00C967B3">
      <w:pPr>
        <w:spacing w:line="480" w:lineRule="auto"/>
        <w:jc w:val="center"/>
        <w:rPr>
          <w:rFonts w:ascii="Times New Roman" w:hAnsi="Times New Roman" w:cs="Times New Roman"/>
          <w:sz w:val="24"/>
          <w:szCs w:val="24"/>
        </w:rPr>
      </w:pPr>
      <w:r w:rsidRPr="00C967B3">
        <w:rPr>
          <w:rFonts w:ascii="Times New Roman" w:hAnsi="Times New Roman" w:cs="Times New Roman"/>
          <w:sz w:val="24"/>
          <w:szCs w:val="24"/>
        </w:rPr>
        <w:t>References for this case are obtained from Direct</w:t>
      </w:r>
      <w:r w:rsidRPr="00C967B3">
        <w:rPr>
          <w:rFonts w:ascii="Times New Roman" w:hAnsi="Times New Roman" w:cs="Times New Roman"/>
          <w:bCs/>
          <w:sz w:val="24"/>
          <w:szCs w:val="24"/>
        </w:rPr>
        <w:t xml:space="preserve"> Equipment Ltd v. Metrolinx, 2018 ONSC</w:t>
      </w:r>
      <w:r w:rsidRPr="00C967B3">
        <w:rPr>
          <w:rFonts w:ascii="Times New Roman" w:hAnsi="Times New Roman" w:cs="Times New Roman"/>
          <w:sz w:val="24"/>
          <w:szCs w:val="24"/>
        </w:rPr>
        <w:t>3569</w:t>
      </w:r>
    </w:p>
    <w:p w:rsidR="00463572" w:rsidP="00C967B3">
      <w:pPr>
        <w:spacing w:line="480" w:lineRule="auto"/>
        <w:jc w:val="center"/>
        <w:rPr>
          <w:rFonts w:ascii="Times New Roman" w:hAnsi="Times New Roman" w:cs="Times New Roman"/>
          <w:bCs/>
          <w:sz w:val="24"/>
          <w:szCs w:val="24"/>
        </w:rPr>
      </w:pPr>
      <w:r w:rsidRPr="00C967B3">
        <w:rPr>
          <w:rFonts w:ascii="Times New Roman" w:hAnsi="Times New Roman" w:cs="Times New Roman"/>
          <w:bCs/>
          <w:sz w:val="24"/>
          <w:szCs w:val="24"/>
        </w:rPr>
        <w:t>COURT FILE NO.: CV-13-477348 DATE: June 7, 2018</w:t>
      </w:r>
    </w:p>
    <w:p w:rsidR="00C967B3" w:rsidP="00C967B3">
      <w:pPr>
        <w:spacing w:line="480" w:lineRule="auto"/>
        <w:jc w:val="center"/>
        <w:rPr>
          <w:rFonts w:ascii="Times New Roman" w:hAnsi="Times New Roman" w:cs="Times New Roman"/>
          <w:sz w:val="24"/>
          <w:szCs w:val="24"/>
        </w:rPr>
      </w:pPr>
      <w:r>
        <w:rPr>
          <w:rFonts w:ascii="Times New Roman" w:hAnsi="Times New Roman" w:cs="Times New Roman"/>
          <w:bCs/>
          <w:sz w:val="24"/>
          <w:szCs w:val="24"/>
        </w:rPr>
        <w:t>Introduction</w:t>
      </w:r>
    </w:p>
    <w:p w:rsidR="00AA7500" w:rsidRPr="00463572"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 xml:space="preserve">Breach of contract means a violation of part of, or whole terms and conditions previously agreed upon by two or more parties. This usually occurs when either of the participating parties in a contract </w:t>
      </w:r>
      <w:r w:rsidRPr="00463572" w:rsidR="00C967B3">
        <w:rPr>
          <w:rFonts w:ascii="Times New Roman" w:hAnsi="Times New Roman" w:cs="Times New Roman"/>
          <w:sz w:val="24"/>
          <w:szCs w:val="24"/>
        </w:rPr>
        <w:t>fails</w:t>
      </w:r>
      <w:r w:rsidRPr="00463572">
        <w:rPr>
          <w:rFonts w:ascii="Times New Roman" w:hAnsi="Times New Roman" w:cs="Times New Roman"/>
          <w:sz w:val="24"/>
          <w:szCs w:val="24"/>
        </w:rPr>
        <w:t xml:space="preserve"> to honor their obligations according to the terms of the original contract. Breach of contracts may occur when one party in the contract completely fails to deliver within the required timeframes, does not meet the initial terms, or has failed to deliver at all.</w:t>
      </w:r>
      <w:r w:rsidRPr="00463572" w:rsidR="00386E0F">
        <w:rPr>
          <w:rFonts w:ascii="Times New Roman" w:hAnsi="Times New Roman" w:cs="Times New Roman"/>
          <w:sz w:val="24"/>
          <w:szCs w:val="24"/>
        </w:rPr>
        <w:t xml:space="preserve"> Some of the terms used in this paper include; a contract which under the Canadian law refers to </w:t>
      </w:r>
      <w:r w:rsidRPr="00ED122F" w:rsidR="00386E0F">
        <w:rPr>
          <w:rFonts w:ascii="Times New Roman" w:hAnsi="Times New Roman" w:cs="Times New Roman"/>
          <w:i/>
          <w:sz w:val="24"/>
          <w:szCs w:val="24"/>
        </w:rPr>
        <w:t>“a legally binding agreement between two or more persons for a particular purpose”,</w:t>
      </w:r>
      <w:r w:rsidRPr="00463572" w:rsidR="00386E0F">
        <w:rPr>
          <w:rFonts w:ascii="Times New Roman" w:hAnsi="Times New Roman" w:cs="Times New Roman"/>
          <w:sz w:val="24"/>
          <w:szCs w:val="24"/>
        </w:rPr>
        <w:t xml:space="preserve"> civil codes which generally refer to the general regulations governing contracts, jurisprudence refers to the previous court decisions in cases with similar foundations.</w:t>
      </w:r>
      <w:r w:rsidR="00ED122F">
        <w:rPr>
          <w:rFonts w:ascii="Times New Roman" w:hAnsi="Times New Roman" w:cs="Times New Roman"/>
          <w:sz w:val="24"/>
          <w:szCs w:val="24"/>
        </w:rPr>
        <w:t xml:space="preserve"> The following is a case description between two companies in the issue of contract breach.</w:t>
      </w:r>
    </w:p>
    <w:p w:rsidR="00386E0F" w:rsidRPr="00463572" w:rsidP="00463572">
      <w:pPr>
        <w:spacing w:line="480" w:lineRule="auto"/>
        <w:ind w:firstLine="720"/>
        <w:jc w:val="center"/>
        <w:rPr>
          <w:rFonts w:ascii="Times New Roman" w:hAnsi="Times New Roman" w:cs="Times New Roman"/>
          <w:sz w:val="24"/>
          <w:szCs w:val="24"/>
        </w:rPr>
      </w:pPr>
      <w:r w:rsidRPr="00463572">
        <w:rPr>
          <w:rFonts w:ascii="Times New Roman" w:hAnsi="Times New Roman" w:cs="Times New Roman"/>
          <w:sz w:val="24"/>
          <w:szCs w:val="24"/>
        </w:rPr>
        <w:t>Legal issues</w:t>
      </w:r>
    </w:p>
    <w:p w:rsidR="00386E0F" w:rsidRPr="00463572"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 xml:space="preserve">The </w:t>
      </w:r>
      <w:r w:rsidRPr="00463572">
        <w:rPr>
          <w:rFonts w:ascii="Times New Roman" w:hAnsi="Times New Roman" w:cs="Times New Roman"/>
          <w:i/>
          <w:iCs/>
          <w:sz w:val="24"/>
          <w:szCs w:val="24"/>
        </w:rPr>
        <w:t xml:space="preserve">Construction Lien Act, </w:t>
      </w:r>
      <w:r w:rsidRPr="00463572">
        <w:rPr>
          <w:rFonts w:ascii="Times New Roman" w:hAnsi="Times New Roman" w:cs="Times New Roman"/>
          <w:sz w:val="24"/>
          <w:szCs w:val="24"/>
        </w:rPr>
        <w:t>R.S.O. 1990, c. C.30 (“</w:t>
      </w:r>
      <w:r w:rsidRPr="00463572">
        <w:rPr>
          <w:rFonts w:ascii="Times New Roman" w:hAnsi="Times New Roman" w:cs="Times New Roman"/>
          <w:i/>
          <w:iCs/>
          <w:sz w:val="24"/>
          <w:szCs w:val="24"/>
        </w:rPr>
        <w:t>CLA</w:t>
      </w:r>
      <w:r w:rsidRPr="00463572">
        <w:rPr>
          <w:rFonts w:ascii="Times New Roman" w:hAnsi="Times New Roman" w:cs="Times New Roman"/>
          <w:sz w:val="24"/>
          <w:szCs w:val="24"/>
        </w:rPr>
        <w:t>” section 80(1)</w:t>
      </w:r>
      <w:r w:rsidR="00463572">
        <w:rPr>
          <w:rFonts w:ascii="Times New Roman" w:hAnsi="Times New Roman" w:cs="Times New Roman"/>
          <w:sz w:val="24"/>
          <w:szCs w:val="24"/>
        </w:rPr>
        <w:t xml:space="preserve"> </w:t>
      </w:r>
      <w:r w:rsidRPr="00463572">
        <w:rPr>
          <w:rFonts w:ascii="Times New Roman" w:hAnsi="Times New Roman" w:cs="Times New Roman"/>
          <w:sz w:val="24"/>
          <w:szCs w:val="24"/>
        </w:rPr>
        <w:t xml:space="preserve">(c) is remedial legislation that primarily grants extraordinary statutory lien rights </w:t>
      </w:r>
      <w:r w:rsidRPr="00463572" w:rsidR="008B168B">
        <w:rPr>
          <w:rFonts w:ascii="Times New Roman" w:hAnsi="Times New Roman" w:cs="Times New Roman"/>
          <w:sz w:val="24"/>
          <w:szCs w:val="24"/>
        </w:rPr>
        <w:t xml:space="preserve">over the payer, rights that would not otherwise exist. In the determination of such cases, the court needs to take into consideration the timelines of the claimant's lien. Some of the legal issues that need to be considered include the determination as to whether the lien had been preserved per the provisions of sections 34of the </w:t>
      </w:r>
      <w:r w:rsidRPr="00463572" w:rsidR="008B168B">
        <w:rPr>
          <w:rFonts w:ascii="Times New Roman" w:hAnsi="Times New Roman" w:cs="Times New Roman"/>
          <w:i/>
          <w:iCs/>
          <w:sz w:val="24"/>
          <w:szCs w:val="24"/>
        </w:rPr>
        <w:t xml:space="preserve">Construction Lien Act, </w:t>
      </w:r>
      <w:r w:rsidRPr="00463572" w:rsidR="008B168B">
        <w:rPr>
          <w:rFonts w:ascii="Times New Roman" w:hAnsi="Times New Roman" w:cs="Times New Roman"/>
          <w:sz w:val="24"/>
          <w:szCs w:val="24"/>
        </w:rPr>
        <w:t>R.S.O. 1990, c. C.30 (“</w:t>
      </w:r>
      <w:r w:rsidRPr="00463572" w:rsidR="008B168B">
        <w:rPr>
          <w:rFonts w:ascii="Times New Roman" w:hAnsi="Times New Roman" w:cs="Times New Roman"/>
          <w:i/>
          <w:iCs/>
          <w:sz w:val="24"/>
          <w:szCs w:val="24"/>
        </w:rPr>
        <w:t>CLA</w:t>
      </w:r>
      <w:r w:rsidRPr="00463572" w:rsidR="008B168B">
        <w:rPr>
          <w:rFonts w:ascii="Times New Roman" w:hAnsi="Times New Roman" w:cs="Times New Roman"/>
          <w:sz w:val="24"/>
          <w:szCs w:val="24"/>
        </w:rPr>
        <w:t>” section 80(1).</w:t>
      </w:r>
    </w:p>
    <w:p w:rsidR="00463572"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Some of the legal issues that required consideration, in this case, included the expiry of liens as governed by section 31 of the CLA which specifies that</w:t>
      </w:r>
      <w:r w:rsidRPr="00463572" w:rsidR="00B1691E">
        <w:rPr>
          <w:rFonts w:ascii="Times New Roman" w:hAnsi="Times New Roman" w:cs="Times New Roman"/>
          <w:sz w:val="24"/>
          <w:szCs w:val="24"/>
        </w:rPr>
        <w:t xml:space="preserve"> not unless preserved under section34 of the Act, the</w:t>
      </w:r>
      <w:r w:rsidRPr="00463572">
        <w:rPr>
          <w:rFonts w:ascii="Times New Roman" w:hAnsi="Times New Roman" w:cs="Times New Roman"/>
          <w:sz w:val="24"/>
          <w:szCs w:val="24"/>
        </w:rPr>
        <w:t xml:space="preserve"> liens originating from the provision of supplies of either building materials or services to an improvement expire as indicated within this section.</w:t>
      </w:r>
      <w:r w:rsidRPr="00463572" w:rsidR="00B1691E">
        <w:rPr>
          <w:rFonts w:ascii="Times New Roman" w:hAnsi="Times New Roman" w:cs="Times New Roman"/>
          <w:sz w:val="24"/>
          <w:szCs w:val="24"/>
        </w:rPr>
        <w:t xml:space="preserve"> </w:t>
      </w:r>
    </w:p>
    <w:p w:rsidR="00B1691E" w:rsidRPr="00463572" w:rsidP="00463572">
      <w:p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The next issue was the preservation of liens as provided for under sections 34(1) (a) of the Construction Lien Act, R.S.O. 1990, c.30. The court needed to understand that preservation of liens required strict compliance and adherence to the provisions of the Construction Lien Act which states that liens should be protected and properly preserved as outlined in section 6 of the Construction Lien Act (CLA).</w:t>
      </w:r>
    </w:p>
    <w:p w:rsidR="008B168B" w:rsidRPr="00463572" w:rsidP="00463572">
      <w:pPr>
        <w:spacing w:line="480" w:lineRule="auto"/>
        <w:jc w:val="center"/>
        <w:rPr>
          <w:rFonts w:ascii="Times New Roman" w:hAnsi="Times New Roman" w:cs="Times New Roman"/>
          <w:sz w:val="24"/>
          <w:szCs w:val="24"/>
        </w:rPr>
      </w:pPr>
      <w:r w:rsidRPr="00463572">
        <w:rPr>
          <w:rFonts w:ascii="Times New Roman" w:hAnsi="Times New Roman" w:cs="Times New Roman"/>
          <w:sz w:val="24"/>
          <w:szCs w:val="24"/>
        </w:rPr>
        <w:t>Analysis</w:t>
      </w:r>
    </w:p>
    <w:p w:rsidR="008B168B" w:rsidRPr="00463572"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 xml:space="preserve">The </w:t>
      </w:r>
      <w:r w:rsidRPr="00463572" w:rsidR="00B1645B">
        <w:rPr>
          <w:rFonts w:ascii="Times New Roman" w:hAnsi="Times New Roman" w:cs="Times New Roman"/>
          <w:sz w:val="24"/>
          <w:szCs w:val="24"/>
        </w:rPr>
        <w:t>trial</w:t>
      </w:r>
      <w:r w:rsidRPr="00463572">
        <w:rPr>
          <w:rFonts w:ascii="Times New Roman" w:hAnsi="Times New Roman" w:cs="Times New Roman"/>
          <w:sz w:val="24"/>
          <w:szCs w:val="24"/>
        </w:rPr>
        <w:t xml:space="preserve"> hearings began on April 4, 2018, with submissions from the plaintiff's counsel, Derek Schmuck for Direct Equipment Inc. who needed to file another document that contained the statements of the fact of the </w:t>
      </w:r>
      <w:r w:rsidRPr="00463572" w:rsidR="00B1645B">
        <w:rPr>
          <w:rFonts w:ascii="Times New Roman" w:hAnsi="Times New Roman" w:cs="Times New Roman"/>
          <w:sz w:val="24"/>
          <w:szCs w:val="24"/>
        </w:rPr>
        <w:t>case;</w:t>
      </w:r>
      <w:r w:rsidRPr="00463572">
        <w:rPr>
          <w:rFonts w:ascii="Times New Roman" w:hAnsi="Times New Roman" w:cs="Times New Roman"/>
          <w:sz w:val="24"/>
          <w:szCs w:val="24"/>
        </w:rPr>
        <w:t xml:space="preserve"> however, this proposal was objected by the defendant's counsel, Mr. Hersen</w:t>
      </w:r>
      <w:r w:rsidRPr="00463572" w:rsidR="00B1645B">
        <w:rPr>
          <w:rFonts w:ascii="Times New Roman" w:hAnsi="Times New Roman" w:cs="Times New Roman"/>
          <w:sz w:val="24"/>
          <w:szCs w:val="24"/>
        </w:rPr>
        <w:t xml:space="preserve">. The trial was temporarily adjourned until April 14, 2018, with further directions to Mr. Schmuck to serve notice of Direct's intention to serve a motion that required to amend its initial statements and the further claim of unjust enrichment. During the preceding hearing on April 25, 2018, Direct filed a motion that sought five counts of relief, however, the court ruled out the fourth application on the request of the defendant's cousin arguing that it was not necessary. </w:t>
      </w:r>
      <w:r w:rsidRPr="00463572" w:rsidR="006217E1">
        <w:rPr>
          <w:rFonts w:ascii="Times New Roman" w:hAnsi="Times New Roman" w:cs="Times New Roman"/>
          <w:sz w:val="24"/>
          <w:szCs w:val="24"/>
        </w:rPr>
        <w:t xml:space="preserve"> On 10</w:t>
      </w:r>
      <w:r w:rsidRPr="00463572" w:rsidR="006217E1">
        <w:rPr>
          <w:rFonts w:ascii="Times New Roman" w:hAnsi="Times New Roman" w:cs="Times New Roman"/>
          <w:sz w:val="24"/>
          <w:szCs w:val="24"/>
          <w:vertAlign w:val="superscript"/>
        </w:rPr>
        <w:t>th</w:t>
      </w:r>
      <w:r w:rsidRPr="00463572" w:rsidR="006217E1">
        <w:rPr>
          <w:rFonts w:ascii="Times New Roman" w:hAnsi="Times New Roman" w:cs="Times New Roman"/>
          <w:sz w:val="24"/>
          <w:szCs w:val="24"/>
        </w:rPr>
        <w:t xml:space="preserve"> May, Mr. Schmuck wrote to Direct</w:t>
      </w:r>
      <w:r w:rsidR="00463572">
        <w:rPr>
          <w:rFonts w:ascii="Times New Roman" w:hAnsi="Times New Roman" w:cs="Times New Roman"/>
          <w:sz w:val="24"/>
          <w:szCs w:val="24"/>
        </w:rPr>
        <w:t xml:space="preserve"> Inc.</w:t>
      </w:r>
      <w:r w:rsidRPr="00463572" w:rsidR="006217E1">
        <w:rPr>
          <w:rFonts w:ascii="Times New Roman" w:hAnsi="Times New Roman" w:cs="Times New Roman"/>
          <w:sz w:val="24"/>
          <w:szCs w:val="24"/>
        </w:rPr>
        <w:t xml:space="preserve"> indicating their intention to make a claim on the intentional usage of their properties by Direct with their consent (tort of conversion).</w:t>
      </w:r>
    </w:p>
    <w:p w:rsidR="00463572" w:rsidP="00463572">
      <w:pPr>
        <w:spacing w:line="480" w:lineRule="auto"/>
        <w:jc w:val="both"/>
        <w:rPr>
          <w:rFonts w:ascii="Times New Roman" w:hAnsi="Times New Roman" w:cs="Times New Roman"/>
          <w:sz w:val="24"/>
          <w:szCs w:val="24"/>
        </w:rPr>
      </w:pPr>
    </w:p>
    <w:p w:rsidR="006217E1" w:rsidRPr="00463572" w:rsidP="00463572">
      <w:p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 xml:space="preserve">With the three applications dropped, Direct </w:t>
      </w:r>
      <w:r w:rsidR="00463572">
        <w:rPr>
          <w:rFonts w:ascii="Times New Roman" w:hAnsi="Times New Roman" w:cs="Times New Roman"/>
          <w:sz w:val="24"/>
          <w:szCs w:val="24"/>
        </w:rPr>
        <w:t xml:space="preserve">Inc. </w:t>
      </w:r>
      <w:r w:rsidRPr="00463572">
        <w:rPr>
          <w:rFonts w:ascii="Times New Roman" w:hAnsi="Times New Roman" w:cs="Times New Roman"/>
          <w:sz w:val="24"/>
          <w:szCs w:val="24"/>
        </w:rPr>
        <w:t>had only two applications that the court was to determine through this hearing.
</w:t>
      </w:r>
    </w:p>
    <w:p w:rsidR="006217E1" w:rsidRPr="00463572" w:rsidP="00463572">
      <w:pPr>
        <w:pStyle w:val="ListParagraph"/>
        <w:numPr>
          <w:ilvl w:val="0"/>
          <w:numId w:val="2"/>
        </w:num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Should Direct</w:t>
      </w:r>
      <w:r w:rsidR="00463572">
        <w:rPr>
          <w:rFonts w:ascii="Times New Roman" w:hAnsi="Times New Roman" w:cs="Times New Roman"/>
          <w:sz w:val="24"/>
          <w:szCs w:val="24"/>
        </w:rPr>
        <w:t xml:space="preserve"> Inc.</w:t>
      </w:r>
      <w:r w:rsidRPr="00463572">
        <w:rPr>
          <w:rFonts w:ascii="Times New Roman" w:hAnsi="Times New Roman" w:cs="Times New Roman"/>
          <w:sz w:val="24"/>
          <w:szCs w:val="24"/>
        </w:rPr>
        <w:t xml:space="preserve"> be granted the leave to amend its pleading that it seeks?</w:t>
      </w:r>
    </w:p>
    <w:p w:rsidR="006217E1" w:rsidRPr="00463572" w:rsidP="00463572">
      <w:pPr>
        <w:spacing w:line="480" w:lineRule="auto"/>
        <w:ind w:firstLine="720"/>
        <w:jc w:val="both"/>
        <w:rPr>
          <w:rStyle w:val="reflex3-block"/>
          <w:rFonts w:ascii="Times New Roman" w:hAnsi="Times New Roman" w:cs="Times New Roman"/>
          <w:i/>
          <w:sz w:val="24"/>
          <w:szCs w:val="24"/>
        </w:rPr>
      </w:pPr>
      <w:r w:rsidRPr="00463572">
        <w:rPr>
          <w:rFonts w:ascii="Times New Roman" w:hAnsi="Times New Roman" w:cs="Times New Roman"/>
          <w:sz w:val="24"/>
          <w:szCs w:val="24"/>
        </w:rPr>
        <w:t xml:space="preserve">Despite the establishment by-law under section 26(1) to grant leave for pleading amendments by the courts, the amendments must, however, prove to have legal and sufficient evidence that is legally tenable. The provisions of the </w:t>
      </w:r>
      <w:r w:rsidRPr="00463572">
        <w:rPr>
          <w:rStyle w:val="reflex3-block"/>
          <w:rFonts w:ascii="Times New Roman" w:hAnsi="Times New Roman" w:cs="Times New Roman"/>
          <w:sz w:val="24"/>
          <w:szCs w:val="24"/>
        </w:rPr>
        <w:t xml:space="preserve">2011 ONCA 248 (CanLII), </w:t>
      </w:r>
      <w:r w:rsidRPr="00463572">
        <w:rPr>
          <w:rStyle w:val="reflex3-alt"/>
          <w:rFonts w:ascii="Times New Roman" w:hAnsi="Times New Roman" w:cs="Times New Roman"/>
          <w:sz w:val="24"/>
          <w:szCs w:val="24"/>
        </w:rPr>
        <w:t>[2011] O.J. No. 1445</w:t>
      </w:r>
      <w:r w:rsidRPr="00463572">
        <w:rPr>
          <w:rStyle w:val="reflex3-block"/>
          <w:rFonts w:ascii="Times New Roman" w:hAnsi="Times New Roman" w:cs="Times New Roman"/>
          <w:sz w:val="24"/>
          <w:szCs w:val="24"/>
        </w:rPr>
        <w:t xml:space="preserve"> at paragraph 19 states that the intended amendments must indicate an issue </w:t>
      </w:r>
      <w:r w:rsidRPr="00463572">
        <w:rPr>
          <w:rStyle w:val="reflex3-block"/>
          <w:rFonts w:ascii="Times New Roman" w:hAnsi="Times New Roman" w:cs="Times New Roman"/>
          <w:i/>
          <w:sz w:val="24"/>
          <w:szCs w:val="24"/>
        </w:rPr>
        <w:t>“worthy of trial and prima facie meritorious”</w:t>
      </w:r>
    </w:p>
    <w:p w:rsidR="00A6219A" w:rsidRPr="00463572" w:rsidP="00463572">
      <w:p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The issues that needed to be addressed as indicated in the amended statement included;</w:t>
      </w:r>
    </w:p>
    <w:p w:rsidR="00A6219A" w:rsidRPr="00463572" w:rsidP="00463572">
      <w:pPr>
        <w:pStyle w:val="ListParagraph"/>
        <w:numPr>
          <w:ilvl w:val="0"/>
          <w:numId w:val="3"/>
        </w:num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Metrolinx refusal to pay for the $24, 758.30 worth of Direct's types of equipment rented to Terratechnik for the three months</w:t>
      </w:r>
      <w:r w:rsidRPr="00463572" w:rsidR="00FC5A26">
        <w:rPr>
          <w:rFonts w:ascii="Times New Roman" w:hAnsi="Times New Roman" w:cs="Times New Roman"/>
          <w:sz w:val="24"/>
          <w:szCs w:val="24"/>
        </w:rPr>
        <w:t xml:space="preserve"> before the termination of the contract with Unimac general.</w:t>
      </w:r>
    </w:p>
    <w:p w:rsidR="00463572" w:rsidP="00463572">
      <w:pPr>
        <w:pStyle w:val="ListParagraph"/>
        <w:numPr>
          <w:ilvl w:val="0"/>
          <w:numId w:val="3"/>
        </w:num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After the contract termination, Metrolinx hired Terratechnik and continued operations further making payments which included the Direct's rental equipment without considering the holdback notice and the Direct</w:t>
      </w:r>
      <w:r w:rsidRPr="00463572" w:rsidR="00D64494">
        <w:rPr>
          <w:rFonts w:ascii="Times New Roman" w:hAnsi="Times New Roman" w:cs="Times New Roman"/>
          <w:sz w:val="24"/>
          <w:szCs w:val="24"/>
        </w:rPr>
        <w:t>’s</w:t>
      </w:r>
      <w:r w:rsidRPr="00463572">
        <w:rPr>
          <w:rFonts w:ascii="Times New Roman" w:hAnsi="Times New Roman" w:cs="Times New Roman"/>
          <w:sz w:val="24"/>
          <w:szCs w:val="24"/>
        </w:rPr>
        <w:t xml:space="preserve"> lien.</w:t>
      </w:r>
    </w:p>
    <w:p w:rsidR="00D64494" w:rsidP="00463572">
      <w:p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It was argued that Terratechnik has supplied materials over and above Direct's supplies, however, the latter's claims were both above $24,758.30 and $71,955.69.</w:t>
      </w:r>
      <w:r w:rsidRPr="00463572">
        <w:rPr>
          <w:rFonts w:ascii="Times New Roman" w:hAnsi="Times New Roman" w:cs="Times New Roman"/>
          <w:sz w:val="24"/>
          <w:szCs w:val="24"/>
        </w:rPr>
        <w:t xml:space="preserve"> in the court's ruling on this particular application, the lien had ceased in the application of the CLA section 44(6) and thus the pleadings were considered frivolous.
</w:t>
      </w:r>
    </w:p>
    <w:p w:rsidR="00463572" w:rsidP="00463572">
      <w:pPr>
        <w:spacing w:line="480" w:lineRule="auto"/>
        <w:jc w:val="both"/>
        <w:rPr>
          <w:rFonts w:ascii="Times New Roman" w:hAnsi="Times New Roman" w:cs="Times New Roman"/>
          <w:sz w:val="24"/>
          <w:szCs w:val="24"/>
        </w:rPr>
      </w:pPr>
    </w:p>
    <w:p w:rsidR="00463572" w:rsidRPr="00463572" w:rsidP="00463572">
      <w:pPr>
        <w:spacing w:line="480" w:lineRule="auto"/>
        <w:jc w:val="both"/>
        <w:rPr>
          <w:rFonts w:ascii="Times New Roman" w:hAnsi="Times New Roman" w:cs="Times New Roman"/>
          <w:sz w:val="24"/>
          <w:szCs w:val="24"/>
        </w:rPr>
      </w:pPr>
    </w:p>
    <w:p w:rsidR="006217E1" w:rsidRPr="00463572" w:rsidP="00463572">
      <w:pPr>
        <w:pStyle w:val="ListParagraph"/>
        <w:numPr>
          <w:ilvl w:val="0"/>
          <w:numId w:val="2"/>
        </w:numPr>
        <w:spacing w:line="480" w:lineRule="auto"/>
        <w:jc w:val="both"/>
        <w:rPr>
          <w:rFonts w:ascii="Times New Roman" w:hAnsi="Times New Roman" w:cs="Times New Roman"/>
          <w:sz w:val="24"/>
          <w:szCs w:val="24"/>
        </w:rPr>
      </w:pPr>
      <w:r w:rsidRPr="00463572">
        <w:rPr>
          <w:rFonts w:ascii="Times New Roman" w:hAnsi="Times New Roman" w:cs="Times New Roman"/>
          <w:sz w:val="24"/>
          <w:szCs w:val="24"/>
        </w:rPr>
        <w:t xml:space="preserve">Should Direct </w:t>
      </w:r>
      <w:r w:rsidRPr="00463572" w:rsidR="00463572">
        <w:rPr>
          <w:rFonts w:ascii="Times New Roman" w:hAnsi="Times New Roman" w:cs="Times New Roman"/>
          <w:sz w:val="24"/>
          <w:szCs w:val="24"/>
        </w:rPr>
        <w:t xml:space="preserve">Inc. </w:t>
      </w:r>
      <w:r w:rsidRPr="00463572">
        <w:rPr>
          <w:rFonts w:ascii="Times New Roman" w:hAnsi="Times New Roman" w:cs="Times New Roman"/>
          <w:sz w:val="24"/>
          <w:szCs w:val="24"/>
        </w:rPr>
        <w:t>be granted leave to file its Document Brief at the trial?</w:t>
      </w:r>
    </w:p>
    <w:p w:rsidR="006217E1"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 xml:space="preserve">Mr. Hersen argued that the documents that Direct intended to file before the court were not relevant and further questioned Direct's reason for the delay to have the documents included in the affidavits. Because Direct had pleaded unjust enrichment, the court entered a summary </w:t>
      </w:r>
      <w:r w:rsidRPr="00463572" w:rsidR="00CF08A4">
        <w:rPr>
          <w:rFonts w:ascii="Times New Roman" w:hAnsi="Times New Roman" w:cs="Times New Roman"/>
          <w:sz w:val="24"/>
          <w:szCs w:val="24"/>
        </w:rPr>
        <w:t>judgment</w:t>
      </w:r>
      <w:r w:rsidRPr="00463572">
        <w:rPr>
          <w:rFonts w:ascii="Times New Roman" w:hAnsi="Times New Roman" w:cs="Times New Roman"/>
          <w:sz w:val="24"/>
          <w:szCs w:val="24"/>
        </w:rPr>
        <w:t xml:space="preserve"> by granting Direct </w:t>
      </w:r>
      <w:r w:rsidRPr="00463572" w:rsidR="00CF08A4">
        <w:rPr>
          <w:rFonts w:ascii="Times New Roman" w:hAnsi="Times New Roman" w:cs="Times New Roman"/>
          <w:sz w:val="24"/>
          <w:szCs w:val="24"/>
        </w:rPr>
        <w:t xml:space="preserve">Inc. </w:t>
      </w:r>
      <w:r w:rsidRPr="00463572">
        <w:rPr>
          <w:rFonts w:ascii="Times New Roman" w:hAnsi="Times New Roman" w:cs="Times New Roman"/>
          <w:sz w:val="24"/>
          <w:szCs w:val="24"/>
        </w:rPr>
        <w:t xml:space="preserve">leave to file its documents </w:t>
      </w:r>
      <w:r w:rsidRPr="00463572" w:rsidR="00CF08A4">
        <w:rPr>
          <w:rFonts w:ascii="Times New Roman" w:hAnsi="Times New Roman" w:cs="Times New Roman"/>
          <w:sz w:val="24"/>
          <w:szCs w:val="24"/>
        </w:rPr>
        <w:t>at trial.</w:t>
      </w:r>
    </w:p>
    <w:p w:rsidR="00B9174D" w:rsidRPr="00463572" w:rsidP="004635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we have come to conclude that the lengthy court process during this case might have affected the business activities of the different companies that were involved. In addition to this, the compulsory payments imposed on one particular company for breach of contract may as well affect its operations.
</w:t>
      </w:r>
    </w:p>
    <w:p w:rsidR="00CF08A4" w:rsidRPr="00463572" w:rsidP="00463572">
      <w:pPr>
        <w:spacing w:line="480" w:lineRule="auto"/>
        <w:jc w:val="center"/>
        <w:rPr>
          <w:rFonts w:ascii="Times New Roman" w:hAnsi="Times New Roman" w:cs="Times New Roman"/>
          <w:sz w:val="24"/>
          <w:szCs w:val="24"/>
        </w:rPr>
      </w:pPr>
      <w:r w:rsidRPr="00463572">
        <w:rPr>
          <w:rFonts w:ascii="Times New Roman" w:hAnsi="Times New Roman" w:cs="Times New Roman"/>
          <w:sz w:val="24"/>
          <w:szCs w:val="24"/>
        </w:rPr>
        <w:t>Discussions</w:t>
      </w:r>
    </w:p>
    <w:p w:rsidR="00CF08A4" w:rsidRPr="00463572"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 xml:space="preserve">The court had adopted two decisions which we believe were in line with the provisions of the CLA. We believe that the award of 7500 dollars in costs to Metrolinx acted in line with the provisions of section 35 which provides a sufficient remedy for own admissions to liens that are grossly exaggerated as in the case of Direct. The remedy is usually to compensate anyone who directly or indirectly suffers from the </w:t>
      </w:r>
      <w:r w:rsidRPr="00463572" w:rsidR="0077144A">
        <w:rPr>
          <w:rFonts w:ascii="Times New Roman" w:hAnsi="Times New Roman" w:cs="Times New Roman"/>
          <w:sz w:val="24"/>
          <w:szCs w:val="24"/>
        </w:rPr>
        <w:t xml:space="preserve">damages due to the exaggerated liens. </w:t>
      </w:r>
    </w:p>
    <w:p w:rsidR="0077144A" w:rsidRPr="00463572"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 xml:space="preserve">The other decision taken by the court was to allow Direct Inc. to file additional documents briefs at trial which as a group we also believe </w:t>
      </w:r>
      <w:r w:rsidRPr="00463572" w:rsidR="00A50681">
        <w:rPr>
          <w:rFonts w:ascii="Times New Roman" w:hAnsi="Times New Roman" w:cs="Times New Roman"/>
          <w:sz w:val="24"/>
          <w:szCs w:val="24"/>
        </w:rPr>
        <w:t>was also in line with the provisions of the act which stated that the acceptance of statement briefs in courts was left at the discretion of the court to decide (</w:t>
      </w:r>
      <w:r w:rsidRPr="00463572" w:rsidR="00A50681">
        <w:rPr>
          <w:rFonts w:ascii="Times New Roman" w:hAnsi="Times New Roman" w:cs="Times New Roman"/>
          <w:i/>
          <w:iCs/>
          <w:sz w:val="24"/>
          <w:szCs w:val="24"/>
        </w:rPr>
        <w:t xml:space="preserve">Hussey Seating Co. (Canada) v. Ottawa (City), </w:t>
      </w:r>
      <w:r w:rsidRPr="00463572" w:rsidR="00A50681">
        <w:rPr>
          <w:rFonts w:ascii="Times New Roman" w:hAnsi="Times New Roman" w:cs="Times New Roman"/>
          <w:sz w:val="24"/>
          <w:szCs w:val="24"/>
        </w:rPr>
        <w:t>1997 CanLII 12116 (ONSC) on page 7).</w:t>
      </w:r>
    </w:p>
    <w:p w:rsidR="00463572" w:rsidP="00B9174D">
      <w:pPr>
        <w:spacing w:line="480" w:lineRule="auto"/>
        <w:rPr>
          <w:rFonts w:ascii="Times New Roman" w:hAnsi="Times New Roman" w:cs="Times New Roman"/>
          <w:sz w:val="24"/>
          <w:szCs w:val="24"/>
        </w:rPr>
      </w:pPr>
    </w:p>
    <w:p w:rsidR="00A50681" w:rsidRPr="00463572" w:rsidP="00463572">
      <w:pPr>
        <w:spacing w:line="480" w:lineRule="auto"/>
        <w:jc w:val="center"/>
        <w:rPr>
          <w:rFonts w:ascii="Times New Roman" w:hAnsi="Times New Roman" w:cs="Times New Roman"/>
          <w:sz w:val="24"/>
          <w:szCs w:val="24"/>
        </w:rPr>
      </w:pPr>
      <w:r w:rsidRPr="00463572">
        <w:rPr>
          <w:rFonts w:ascii="Times New Roman" w:hAnsi="Times New Roman" w:cs="Times New Roman"/>
          <w:sz w:val="24"/>
          <w:szCs w:val="24"/>
        </w:rPr>
        <w:t>Conclusions</w:t>
      </w:r>
    </w:p>
    <w:p w:rsidR="00A50681" w:rsidRPr="00463572" w:rsidP="00463572">
      <w:pPr>
        <w:spacing w:line="480" w:lineRule="auto"/>
        <w:ind w:firstLine="720"/>
        <w:jc w:val="both"/>
        <w:rPr>
          <w:rFonts w:ascii="Times New Roman" w:hAnsi="Times New Roman" w:cs="Times New Roman"/>
          <w:sz w:val="24"/>
          <w:szCs w:val="24"/>
        </w:rPr>
      </w:pPr>
      <w:r w:rsidRPr="00463572">
        <w:rPr>
          <w:rFonts w:ascii="Times New Roman" w:hAnsi="Times New Roman" w:cs="Times New Roman"/>
          <w:sz w:val="24"/>
          <w:szCs w:val="24"/>
        </w:rPr>
        <w:t>In conclusion, we have come to understand that the above case scenario was primarily based on the provisions of the CLA which the court had constantly used as reference material in making its decisions</w:t>
      </w:r>
      <w:r w:rsidR="00003FE0">
        <w:rPr>
          <w:rFonts w:ascii="Times New Roman" w:hAnsi="Times New Roman" w:cs="Times New Roman"/>
          <w:sz w:val="24"/>
          <w:szCs w:val="24"/>
        </w:rPr>
        <w:t xml:space="preserve"> (Reynolds &amp; Vogel, 2016)</w:t>
      </w:r>
      <w:r w:rsidRPr="00463572">
        <w:rPr>
          <w:rFonts w:ascii="Times New Roman" w:hAnsi="Times New Roman" w:cs="Times New Roman"/>
          <w:sz w:val="24"/>
          <w:szCs w:val="24"/>
        </w:rPr>
        <w:t>. In summary, the trial hearings had been conducted and decided as required by law. We believe that despite the court awarding 7500 dollars in compensation to Metrolinx, they had failed to indicate to prove damages due to the grossly exaggerated liens by Direct Inc.</w:t>
      </w:r>
      <w:r w:rsidRPr="00463572" w:rsidR="00BA1C16">
        <w:rPr>
          <w:rFonts w:ascii="Times New Roman" w:hAnsi="Times New Roman" w:cs="Times New Roman"/>
          <w:sz w:val="24"/>
          <w:szCs w:val="24"/>
        </w:rPr>
        <w:t xml:space="preserve"> the only quantification that had been supplied in the trial hearings was the exaggerated liens by Direct Inc.</w:t>
      </w: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9174D" w:rsidP="00463572">
      <w:pPr>
        <w:spacing w:line="480" w:lineRule="auto"/>
        <w:jc w:val="center"/>
        <w:rPr>
          <w:rFonts w:ascii="Times New Roman" w:hAnsi="Times New Roman" w:cs="Times New Roman"/>
          <w:sz w:val="24"/>
          <w:szCs w:val="24"/>
        </w:rPr>
      </w:pPr>
    </w:p>
    <w:p w:rsidR="00BA1C16" w:rsidRPr="00463572" w:rsidP="00463572">
      <w:pPr>
        <w:spacing w:line="480" w:lineRule="auto"/>
        <w:jc w:val="center"/>
        <w:rPr>
          <w:rFonts w:ascii="Times New Roman" w:hAnsi="Times New Roman" w:cs="Times New Roman"/>
          <w:sz w:val="24"/>
          <w:szCs w:val="24"/>
        </w:rPr>
      </w:pPr>
      <w:r w:rsidRPr="00463572">
        <w:rPr>
          <w:rFonts w:ascii="Times New Roman" w:hAnsi="Times New Roman" w:cs="Times New Roman"/>
          <w:sz w:val="24"/>
          <w:szCs w:val="24"/>
        </w:rPr>
        <w:t>References</w:t>
      </w:r>
    </w:p>
    <w:p w:rsidR="00BA1C16" w:rsidP="00950131">
      <w:pPr>
        <w:pStyle w:val="Default"/>
        <w:spacing w:line="480" w:lineRule="auto"/>
        <w:ind w:left="720" w:hanging="720"/>
        <w:rPr>
          <w:rFonts w:ascii="Times New Roman" w:hAnsi="Times New Roman" w:cs="Times New Roman"/>
          <w:bCs/>
        </w:rPr>
      </w:pPr>
      <w:r w:rsidRPr="00950131">
        <w:rPr>
          <w:rFonts w:ascii="Times New Roman" w:hAnsi="Times New Roman" w:cs="Times New Roman"/>
        </w:rPr>
        <w:t xml:space="preserve"> </w:t>
      </w:r>
      <w:r w:rsidRPr="00950131">
        <w:rPr>
          <w:rFonts w:ascii="Times New Roman" w:hAnsi="Times New Roman" w:cs="Times New Roman"/>
          <w:bCs/>
        </w:rPr>
        <w:t>Direct Equipment Ltd v. Metrolinx, 2018 ONSC</w:t>
      </w:r>
      <w:r w:rsidRPr="00950131">
        <w:rPr>
          <w:rFonts w:ascii="Times New Roman" w:hAnsi="Times New Roman" w:cs="Times New Roman"/>
        </w:rPr>
        <w:t xml:space="preserve">3569 </w:t>
      </w:r>
      <w:r w:rsidRPr="00950131">
        <w:rPr>
          <w:rFonts w:ascii="Times New Roman" w:hAnsi="Times New Roman" w:cs="Times New Roman"/>
          <w:bCs/>
        </w:rPr>
        <w:t>COURT FILE NO.: CV-13-477348  DATE: June 7, 2018</w:t>
      </w:r>
    </w:p>
    <w:p w:rsidR="00BD031F" w:rsidP="00BD031F">
      <w:pPr>
        <w:spacing w:after="0" w:line="240" w:lineRule="auto"/>
        <w:ind w:left="720" w:hanging="720"/>
        <w:rPr>
          <w:rFonts w:ascii="Times New Roman" w:eastAsia="Times New Roman" w:hAnsi="Times New Roman" w:cs="Times New Roman"/>
          <w:i/>
          <w:iCs/>
          <w:sz w:val="24"/>
          <w:szCs w:val="24"/>
        </w:rPr>
      </w:pPr>
      <w:r w:rsidRPr="00BD031F">
        <w:rPr>
          <w:rFonts w:ascii="Times New Roman" w:eastAsia="Times New Roman" w:hAnsi="Times New Roman" w:cs="Times New Roman"/>
          <w:sz w:val="24"/>
          <w:szCs w:val="24"/>
        </w:rPr>
        <w:t xml:space="preserve">Reynolds, B., &amp; Vogel, S. (2016). </w:t>
      </w:r>
      <w:r w:rsidRPr="00BD031F">
        <w:rPr>
          <w:rFonts w:ascii="Times New Roman" w:eastAsia="Times New Roman" w:hAnsi="Times New Roman" w:cs="Times New Roman"/>
          <w:i/>
          <w:iCs/>
          <w:sz w:val="24"/>
          <w:szCs w:val="24"/>
        </w:rPr>
        <w:t xml:space="preserve">Striking the Balance: Expert Review of Ontario's Construction </w:t>
      </w:r>
    </w:p>
    <w:p w:rsidR="00BD031F" w:rsidP="00BD031F">
      <w:pPr>
        <w:spacing w:after="0" w:line="240" w:lineRule="auto"/>
        <w:ind w:hanging="720"/>
        <w:rPr>
          <w:rFonts w:ascii="Times New Roman" w:eastAsia="Times New Roman" w:hAnsi="Times New Roman" w:cs="Times New Roman"/>
          <w:i/>
          <w:iCs/>
          <w:sz w:val="24"/>
          <w:szCs w:val="24"/>
        </w:rPr>
      </w:pPr>
    </w:p>
    <w:p w:rsidR="00BD031F" w:rsidRPr="00BD031F" w:rsidP="00BD031F">
      <w:pPr>
        <w:spacing w:after="0" w:line="240" w:lineRule="auto"/>
        <w:ind w:left="1440" w:hanging="720"/>
        <w:rPr>
          <w:rFonts w:ascii="Times New Roman" w:eastAsia="Times New Roman" w:hAnsi="Times New Roman" w:cs="Times New Roman"/>
          <w:sz w:val="24"/>
          <w:szCs w:val="24"/>
        </w:rPr>
      </w:pPr>
      <w:r w:rsidRPr="00BD031F">
        <w:rPr>
          <w:rFonts w:ascii="Times New Roman" w:eastAsia="Times New Roman" w:hAnsi="Times New Roman" w:cs="Times New Roman"/>
          <w:i/>
          <w:iCs/>
          <w:sz w:val="24"/>
          <w:szCs w:val="24"/>
        </w:rPr>
        <w:t>Lien Act</w:t>
      </w:r>
      <w:r w:rsidRPr="00BD031F">
        <w:rPr>
          <w:rFonts w:ascii="Times New Roman" w:eastAsia="Times New Roman" w:hAnsi="Times New Roman" w:cs="Times New Roman"/>
          <w:sz w:val="24"/>
          <w:szCs w:val="24"/>
        </w:rPr>
        <w:t>. Ministry of the Attorney General.</w:t>
      </w:r>
    </w:p>
    <w:p w:rsidR="00BD031F" w:rsidRPr="00950131" w:rsidP="00BD031F">
      <w:pPr>
        <w:spacing w:after="0" w:line="480" w:lineRule="auto"/>
        <w:ind w:left="720" w:hanging="720"/>
        <w:rPr>
          <w:rFonts w:ascii="Times New Roman" w:eastAsia="Times New Roman" w:hAnsi="Times New Roman" w:cs="Times New Roman"/>
          <w:sz w:val="24"/>
          <w:szCs w:val="24"/>
        </w:rPr>
      </w:pPr>
    </w:p>
    <w:p w:rsidR="00950131" w:rsidRPr="00950131" w:rsidP="00950131">
      <w:pPr>
        <w:spacing w:after="0" w:line="480" w:lineRule="auto"/>
        <w:ind w:hanging="720"/>
        <w:rPr>
          <w:rFonts w:ascii="Times New Roman" w:eastAsia="Times New Roman" w:hAnsi="Times New Roman" w:cs="Times New Roman"/>
          <w:sz w:val="24"/>
          <w:szCs w:val="24"/>
        </w:rPr>
      </w:pPr>
    </w:p>
    <w:p w:rsidR="00950131" w:rsidRPr="00950131" w:rsidP="0095013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Websites consulted</w:t>
      </w:r>
    </w:p>
    <w:p w:rsidR="00950131" w:rsidP="00B9174D">
      <w:pPr>
        <w:pStyle w:val="Default"/>
        <w:ind w:left="720" w:hanging="720"/>
        <w:rPr>
          <w:bCs/>
          <w:sz w:val="22"/>
          <w:szCs w:val="22"/>
        </w:rPr>
      </w:pPr>
    </w:p>
    <w:p w:rsidR="00B9174D" w:rsidP="00B9174D">
      <w:pPr>
        <w:pStyle w:val="Default"/>
        <w:ind w:left="720" w:hanging="720"/>
        <w:rPr>
          <w:rFonts w:ascii="Times New Roman" w:hAnsi="Times New Roman" w:cs="Times New Roman"/>
          <w:sz w:val="23"/>
          <w:szCs w:val="23"/>
        </w:rPr>
      </w:pPr>
      <w:hyperlink r:id="rId4" w:history="1">
        <w:r w:rsidRPr="000325A2">
          <w:rPr>
            <w:rStyle w:val="Hyperlink"/>
            <w:rFonts w:ascii="Times New Roman" w:hAnsi="Times New Roman" w:cs="Times New Roman"/>
            <w:sz w:val="23"/>
            <w:szCs w:val="23"/>
          </w:rPr>
          <w:t>https://www.thecanadianencyclopedia.ca/en/article/contract-law</w:t>
        </w:r>
      </w:hyperlink>
      <w:r>
        <w:rPr>
          <w:rFonts w:ascii="Times New Roman" w:hAnsi="Times New Roman" w:cs="Times New Roman"/>
          <w:sz w:val="23"/>
          <w:szCs w:val="23"/>
        </w:rPr>
        <w:t xml:space="preserve"> accessed on 3/22/2020</w:t>
      </w:r>
    </w:p>
    <w:p w:rsidR="00950131" w:rsidRPr="00B9174D" w:rsidP="00B9174D">
      <w:pPr>
        <w:pStyle w:val="Default"/>
        <w:ind w:left="720" w:hanging="720"/>
        <w:rPr>
          <w:rFonts w:ascii="Times New Roman" w:hAnsi="Times New Roman" w:cs="Times New Roman"/>
          <w:sz w:val="23"/>
          <w:szCs w:val="23"/>
        </w:rPr>
      </w:pPr>
    </w:p>
    <w:sectPr w:rsidSect="00C967B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09049"/>
      <w:docPartObj>
        <w:docPartGallery w:val="Page Numbers (Top of Page)"/>
        <w:docPartUnique/>
      </w:docPartObj>
    </w:sdtPr>
    <w:sdtContent>
      <w:p w:rsidR="00C967B3" w:rsidRPr="00C967B3" w:rsidP="00C967B3">
        <w:pPr>
          <w:pStyle w:val="Header"/>
          <w:rPr>
            <w:rFonts w:ascii="Times New Roman" w:hAnsi="Times New Roman" w:cs="Times New Roman"/>
            <w:sz w:val="24"/>
          </w:rPr>
        </w:pPr>
        <w:r>
          <w:rPr>
            <w:rFonts w:ascii="Times New Roman" w:hAnsi="Times New Roman" w:cs="Times New Roman"/>
            <w:sz w:val="24"/>
          </w:rPr>
          <w:t>BREACH OF CONTRACT</w:t>
        </w:r>
      </w:p>
      <w:p w:rsidR="00C967B3">
        <w:pPr>
          <w:pStyle w:val="Header"/>
          <w:jc w:val="right"/>
        </w:pPr>
        <w:r>
          <w:fldChar w:fldCharType="begin"/>
        </w:r>
        <w:r>
          <w:instrText xml:space="preserve"> PAGE   \* MERGEFORMAT </w:instrText>
        </w:r>
        <w:r>
          <w:fldChar w:fldCharType="separate"/>
        </w:r>
        <w:r w:rsidR="00ED122F">
          <w:rPr>
            <w:noProof/>
          </w:rPr>
          <w:t>2</w:t>
        </w:r>
        <w:r w:rsidR="00ED122F">
          <w:rPr>
            <w:noProof/>
          </w:rPr>
          <w:fldChar w:fldCharType="end"/>
        </w:r>
      </w:p>
    </w:sdtContent>
  </w:sdt>
  <w:p w:rsidR="00C967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09047"/>
      <w:docPartObj>
        <w:docPartGallery w:val="Page Numbers (Top of Page)"/>
        <w:docPartUnique/>
      </w:docPartObj>
    </w:sdtPr>
    <w:sdtContent>
      <w:p w:rsidR="00C967B3" w:rsidRPr="00C967B3" w:rsidP="00C967B3">
        <w:pPr>
          <w:pStyle w:val="Header"/>
          <w:rPr>
            <w:rFonts w:ascii="Times New Roman" w:hAnsi="Times New Roman" w:cs="Times New Roman"/>
            <w:sz w:val="24"/>
          </w:rPr>
        </w:pPr>
        <w:r>
          <w:rPr>
            <w:rFonts w:ascii="Times New Roman" w:hAnsi="Times New Roman" w:cs="Times New Roman"/>
            <w:sz w:val="24"/>
          </w:rPr>
          <w:t>Running head: BREACH OF CONTRACT</w:t>
        </w:r>
      </w:p>
      <w:p w:rsidR="00C967B3">
        <w:pPr>
          <w:pStyle w:val="Header"/>
          <w:jc w:val="right"/>
        </w:pPr>
        <w:r>
          <w:fldChar w:fldCharType="begin"/>
        </w:r>
        <w:r>
          <w:instrText xml:space="preserve"> PAGE   \* MERGEFORMAT </w:instrText>
        </w:r>
        <w:r>
          <w:fldChar w:fldCharType="separate"/>
        </w:r>
        <w:r w:rsidR="00ED122F">
          <w:rPr>
            <w:noProof/>
          </w:rPr>
          <w:t>1</w:t>
        </w:r>
        <w:r w:rsidR="00ED122F">
          <w:rPr>
            <w:noProof/>
          </w:rPr>
          <w:fldChar w:fldCharType="end"/>
        </w:r>
      </w:p>
    </w:sdtContent>
  </w:sdt>
  <w:p w:rsidR="00C967B3" w:rsidRPr="00C967B3">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76856"/>
    <w:multiLevelType w:val="hybridMultilevel"/>
    <w:tmpl w:val="E2C409D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CB5465F"/>
    <w:multiLevelType w:val="hybridMultilevel"/>
    <w:tmpl w:val="DF567820"/>
    <w:lvl w:ilvl="0">
      <w:start w:val="1"/>
      <w:numFmt w:val="lowerLetter"/>
      <w:lvlText w:val="%1)"/>
      <w:lvlJc w:val="left"/>
      <w:pPr>
        <w:ind w:left="1110" w:hanging="75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FB17BEA"/>
    <w:multiLevelType w:val="hybridMultilevel"/>
    <w:tmpl w:val="E340CD2C"/>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0F32B1"/>
    <w:rsid w:val="00003FE0"/>
    <w:rsid w:val="000325A2"/>
    <w:rsid w:val="000F32B1"/>
    <w:rsid w:val="00166D6D"/>
    <w:rsid w:val="00386E0F"/>
    <w:rsid w:val="00463572"/>
    <w:rsid w:val="00483292"/>
    <w:rsid w:val="006217E1"/>
    <w:rsid w:val="0077144A"/>
    <w:rsid w:val="008B168B"/>
    <w:rsid w:val="00947A41"/>
    <w:rsid w:val="00950131"/>
    <w:rsid w:val="00A50681"/>
    <w:rsid w:val="00A6219A"/>
    <w:rsid w:val="00AA7500"/>
    <w:rsid w:val="00B1645B"/>
    <w:rsid w:val="00B1691E"/>
    <w:rsid w:val="00B9174D"/>
    <w:rsid w:val="00BA1C16"/>
    <w:rsid w:val="00BD031F"/>
    <w:rsid w:val="00C257BB"/>
    <w:rsid w:val="00C73544"/>
    <w:rsid w:val="00C967B3"/>
    <w:rsid w:val="00CF08A4"/>
    <w:rsid w:val="00D64494"/>
    <w:rsid w:val="00ED122F"/>
    <w:rsid w:val="00FC5A2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50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3544"/>
    <w:rPr>
      <w:color w:val="0000FF"/>
      <w:u w:val="single"/>
    </w:rPr>
  </w:style>
  <w:style w:type="paragraph" w:styleId="ListParagraph">
    <w:name w:val="List Paragraph"/>
    <w:basedOn w:val="Normal"/>
    <w:uiPriority w:val="34"/>
    <w:qFormat/>
    <w:rsid w:val="006217E1"/>
    <w:pPr>
      <w:ind w:left="720"/>
      <w:contextualSpacing/>
    </w:pPr>
  </w:style>
  <w:style w:type="character" w:customStyle="1" w:styleId="reflex3-block">
    <w:name w:val="reflex3-block"/>
    <w:basedOn w:val="DefaultParagraphFont"/>
    <w:rsid w:val="00A6219A"/>
  </w:style>
  <w:style w:type="character" w:customStyle="1" w:styleId="reflex3-alt">
    <w:name w:val="reflex3-alt"/>
    <w:basedOn w:val="DefaultParagraphFont"/>
    <w:rsid w:val="00A6219A"/>
  </w:style>
  <w:style w:type="paragraph" w:styleId="Header">
    <w:name w:val="header"/>
    <w:basedOn w:val="Normal"/>
    <w:link w:val="HeaderChar"/>
    <w:uiPriority w:val="99"/>
    <w:unhideWhenUsed/>
    <w:rsid w:val="00C967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7B3"/>
  </w:style>
  <w:style w:type="paragraph" w:styleId="Footer">
    <w:name w:val="footer"/>
    <w:basedOn w:val="Normal"/>
    <w:link w:val="FooterChar"/>
    <w:uiPriority w:val="99"/>
    <w:semiHidden/>
    <w:unhideWhenUsed/>
    <w:rsid w:val="00C967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67B3"/>
  </w:style>
  <w:style w:type="paragraph" w:customStyle="1" w:styleId="Default">
    <w:name w:val="Default"/>
    <w:rsid w:val="00B9174D"/>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canadianencyclopedia.ca/en/article/contract-law"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7</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5</cp:revision>
  <dcterms:created xsi:type="dcterms:W3CDTF">2020-03-22T04:19:00Z</dcterms:created>
  <dcterms:modified xsi:type="dcterms:W3CDTF">2020-03-22T08:48:00Z</dcterms:modified>
</cp:coreProperties>
</file>